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6E1" w:rsidRPr="002756E1" w:rsidRDefault="002756E1" w:rsidP="002756E1">
      <w:pPr>
        <w:autoSpaceDE w:val="0"/>
        <w:autoSpaceDN w:val="0"/>
        <w:adjustRightInd w:val="0"/>
        <w:spacing w:after="0" w:line="240" w:lineRule="auto"/>
        <w:jc w:val="both"/>
        <w:rPr>
          <w:rFonts w:ascii="Times New Roman" w:hAnsi="Times New Roman" w:cs="Times New Roman"/>
          <w:b/>
          <w:sz w:val="28"/>
          <w:szCs w:val="28"/>
        </w:rPr>
      </w:pPr>
      <w:r w:rsidRPr="002756E1">
        <w:rPr>
          <w:rFonts w:ascii="Times New Roman" w:hAnsi="Times New Roman" w:cs="Times New Roman"/>
          <w:b/>
          <w:sz w:val="28"/>
          <w:szCs w:val="28"/>
        </w:rPr>
        <w:t>Teisė į savo kūną bei motinos ir vaiko santykis</w:t>
      </w:r>
    </w:p>
    <w:p w:rsidR="002756E1" w:rsidRDefault="002756E1" w:rsidP="002756E1">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r w:rsidRPr="002756E1">
        <w:rPr>
          <w:rFonts w:ascii="Times New Roman" w:hAnsi="Times New Roman" w:cs="Times New Roman"/>
          <w:sz w:val="24"/>
          <w:szCs w:val="24"/>
        </w:rPr>
        <w:t>Kun. prof. dr. Kazimieras Meilius</w:t>
      </w:r>
    </w:p>
    <w:p w:rsidR="002756E1" w:rsidRDefault="002756E1" w:rsidP="002756E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Mykolo Romerio universitetas</w:t>
      </w:r>
    </w:p>
    <w:p w:rsidR="002756E1" w:rsidRPr="002756E1" w:rsidRDefault="002756E1" w:rsidP="008F3763">
      <w:pPr>
        <w:autoSpaceDE w:val="0"/>
        <w:autoSpaceDN w:val="0"/>
        <w:adjustRightInd w:val="0"/>
        <w:spacing w:after="0" w:line="240" w:lineRule="auto"/>
        <w:ind w:firstLine="1296"/>
        <w:jc w:val="both"/>
        <w:rPr>
          <w:rFonts w:ascii="Times New Roman" w:hAnsi="Times New Roman" w:cs="Times New Roman"/>
          <w:sz w:val="24"/>
          <w:szCs w:val="24"/>
        </w:rPr>
      </w:pPr>
    </w:p>
    <w:p w:rsidR="008F3763" w:rsidRPr="002756E1" w:rsidRDefault="002756E1" w:rsidP="008F3763">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R</w:t>
      </w:r>
      <w:r w:rsidR="003452D3" w:rsidRPr="002756E1">
        <w:rPr>
          <w:rFonts w:ascii="Times New Roman" w:hAnsi="Times New Roman" w:cs="Times New Roman"/>
          <w:sz w:val="24"/>
          <w:szCs w:val="24"/>
        </w:rPr>
        <w:t>yšys tarp motinos ir vaiko užsimezga per moters organizme vykstančius biologinius pokyčius; moteriai tik tapus nėščia jos organizmas pasirengia šį ryšį palaikyti. Gimimo momentas tik parodo, kad motinos ir vaiko ry</w:t>
      </w:r>
      <w:r w:rsidR="00015576" w:rsidRPr="002756E1">
        <w:rPr>
          <w:rFonts w:ascii="Times New Roman" w:hAnsi="Times New Roman" w:cs="Times New Roman"/>
          <w:sz w:val="24"/>
          <w:szCs w:val="24"/>
        </w:rPr>
        <w:t xml:space="preserve">šys tęsiasi, o ne prasideda. </w:t>
      </w:r>
      <w:r w:rsidR="003452D3" w:rsidRPr="002756E1">
        <w:rPr>
          <w:rFonts w:ascii="Times New Roman" w:hAnsi="Times New Roman" w:cs="Times New Roman"/>
          <w:sz w:val="24"/>
          <w:szCs w:val="24"/>
        </w:rPr>
        <w:t xml:space="preserve">  Įsigilinus į teisės apibrėžimus matyti, kad pati teisė niekur absoliučiai netvirtina, esą nuo dabar, nuo gimimo, vaikas jau yra žmogus (</w:t>
      </w:r>
      <w:r w:rsidR="003452D3" w:rsidRPr="002756E1">
        <w:rPr>
          <w:rFonts w:ascii="Times New Roman" w:hAnsi="Times New Roman" w:cs="Times New Roman"/>
          <w:i/>
          <w:iCs/>
          <w:sz w:val="24"/>
          <w:szCs w:val="24"/>
        </w:rPr>
        <w:t>fiat homo, ecce homo</w:t>
      </w:r>
      <w:r w:rsidR="003452D3" w:rsidRPr="002756E1">
        <w:rPr>
          <w:rFonts w:ascii="Times New Roman" w:hAnsi="Times New Roman" w:cs="Times New Roman"/>
          <w:sz w:val="24"/>
          <w:szCs w:val="24"/>
        </w:rPr>
        <w:t>), arba apie negimu</w:t>
      </w:r>
      <w:r w:rsidR="00015576" w:rsidRPr="002756E1">
        <w:rPr>
          <w:rFonts w:ascii="Times New Roman" w:hAnsi="Times New Roman" w:cs="Times New Roman"/>
          <w:sz w:val="24"/>
          <w:szCs w:val="24"/>
        </w:rPr>
        <w:t>sį, kad žmogumi nėra laikomas</w:t>
      </w:r>
      <w:r w:rsidR="003452D3" w:rsidRPr="002756E1">
        <w:rPr>
          <w:rFonts w:ascii="Times New Roman" w:hAnsi="Times New Roman" w:cs="Times New Roman"/>
          <w:sz w:val="24"/>
          <w:szCs w:val="24"/>
        </w:rPr>
        <w:t>. Net ir tada, kai gimusiajam priskiriamas subjektiškumas ir teisnumas (CK 2.2 str.), jis nei suteiktomis teisėmis, nei pareigomis pats tiesiogiai ir toliau negali naudotis, tai gali daryti tik per tarpininkus.</w:t>
      </w:r>
      <w:r w:rsidR="00015576" w:rsidRPr="002756E1">
        <w:rPr>
          <w:rFonts w:ascii="Times New Roman" w:hAnsi="Times New Roman" w:cs="Times New Roman"/>
          <w:sz w:val="24"/>
          <w:szCs w:val="24"/>
        </w:rPr>
        <w:t xml:space="preserve"> </w:t>
      </w:r>
      <w:r w:rsidR="003452D3" w:rsidRPr="002756E1">
        <w:rPr>
          <w:rFonts w:ascii="Times New Roman" w:hAnsi="Times New Roman" w:cs="Times New Roman"/>
          <w:sz w:val="24"/>
          <w:szCs w:val="24"/>
        </w:rPr>
        <w:t xml:space="preserve">Taigi tenka kalbėti ir apie tuos (pradėtus, bet dar negimusius), kurių šiandienė teisinė padėtis, remiantis romėnų teise, tarsi priklauso </w:t>
      </w:r>
      <w:r w:rsidR="003452D3" w:rsidRPr="002756E1">
        <w:rPr>
          <w:rFonts w:ascii="Times New Roman" w:hAnsi="Times New Roman" w:cs="Times New Roman"/>
          <w:i/>
          <w:iCs/>
          <w:sz w:val="24"/>
          <w:szCs w:val="24"/>
        </w:rPr>
        <w:t xml:space="preserve">alieni iuris </w:t>
      </w:r>
      <w:r w:rsidR="003452D3" w:rsidRPr="002756E1">
        <w:rPr>
          <w:rFonts w:ascii="Times New Roman" w:hAnsi="Times New Roman" w:cs="Times New Roman"/>
          <w:sz w:val="24"/>
          <w:szCs w:val="24"/>
        </w:rPr>
        <w:t>kategorijai (tai asmenų grupės, tiesiogiai negalinčios naudotis</w:t>
      </w:r>
      <w:r w:rsidR="00015576" w:rsidRPr="002756E1">
        <w:rPr>
          <w:rFonts w:ascii="Times New Roman" w:hAnsi="Times New Roman" w:cs="Times New Roman"/>
          <w:sz w:val="24"/>
          <w:szCs w:val="24"/>
        </w:rPr>
        <w:t xml:space="preserve"> </w:t>
      </w:r>
      <w:r w:rsidR="003452D3" w:rsidRPr="002756E1">
        <w:rPr>
          <w:rFonts w:ascii="Times New Roman" w:hAnsi="Times New Roman" w:cs="Times New Roman"/>
          <w:sz w:val="24"/>
          <w:szCs w:val="24"/>
        </w:rPr>
        <w:t>savo teise, o kitų teise (</w:t>
      </w:r>
      <w:r w:rsidR="003452D3" w:rsidRPr="002756E1">
        <w:rPr>
          <w:rFonts w:ascii="Times New Roman" w:hAnsi="Times New Roman" w:cs="Times New Roman"/>
          <w:i/>
          <w:iCs/>
          <w:sz w:val="24"/>
          <w:szCs w:val="24"/>
        </w:rPr>
        <w:t>alieni iuris</w:t>
      </w:r>
      <w:r w:rsidR="003452D3" w:rsidRPr="002756E1">
        <w:rPr>
          <w:rFonts w:ascii="Times New Roman" w:hAnsi="Times New Roman" w:cs="Times New Roman"/>
          <w:sz w:val="24"/>
          <w:szCs w:val="24"/>
        </w:rPr>
        <w:t>). Kaip antai, šeimos nariai (žmona, vaikai, vergai) romėnų teisėje naudojosi ne savo teise (</w:t>
      </w:r>
      <w:r w:rsidR="003452D3" w:rsidRPr="002756E1">
        <w:rPr>
          <w:rFonts w:ascii="Times New Roman" w:hAnsi="Times New Roman" w:cs="Times New Roman"/>
          <w:i/>
          <w:iCs/>
          <w:sz w:val="24"/>
          <w:szCs w:val="24"/>
        </w:rPr>
        <w:t>sui iuris</w:t>
      </w:r>
      <w:r w:rsidR="003452D3" w:rsidRPr="002756E1">
        <w:rPr>
          <w:rFonts w:ascii="Times New Roman" w:hAnsi="Times New Roman" w:cs="Times New Roman"/>
          <w:sz w:val="24"/>
          <w:szCs w:val="24"/>
        </w:rPr>
        <w:t xml:space="preserve">), o </w:t>
      </w:r>
      <w:r w:rsidR="003452D3" w:rsidRPr="002756E1">
        <w:rPr>
          <w:rFonts w:ascii="Times New Roman" w:hAnsi="Times New Roman" w:cs="Times New Roman"/>
          <w:i/>
          <w:iCs/>
          <w:sz w:val="24"/>
          <w:szCs w:val="24"/>
        </w:rPr>
        <w:t xml:space="preserve">pater familias </w:t>
      </w:r>
      <w:r w:rsidR="003452D3" w:rsidRPr="002756E1">
        <w:rPr>
          <w:rFonts w:ascii="Times New Roman" w:hAnsi="Times New Roman" w:cs="Times New Roman"/>
          <w:sz w:val="24"/>
          <w:szCs w:val="24"/>
        </w:rPr>
        <w:t>galia ir valdžia (</w:t>
      </w:r>
      <w:r w:rsidR="003452D3" w:rsidRPr="002756E1">
        <w:rPr>
          <w:rFonts w:ascii="Times New Roman" w:hAnsi="Times New Roman" w:cs="Times New Roman"/>
          <w:i/>
          <w:iCs/>
          <w:sz w:val="24"/>
          <w:szCs w:val="24"/>
        </w:rPr>
        <w:t>pater potestas</w:t>
      </w:r>
      <w:r w:rsidR="003452D3" w:rsidRPr="002756E1">
        <w:rPr>
          <w:rFonts w:ascii="Times New Roman" w:hAnsi="Times New Roman" w:cs="Times New Roman"/>
          <w:sz w:val="24"/>
          <w:szCs w:val="24"/>
        </w:rPr>
        <w:t xml:space="preserve">), t. y. tų asmenų teise, kurie turi </w:t>
      </w:r>
      <w:r w:rsidR="003452D3" w:rsidRPr="002756E1">
        <w:rPr>
          <w:rFonts w:ascii="Times New Roman" w:hAnsi="Times New Roman" w:cs="Times New Roman"/>
          <w:i/>
          <w:iCs/>
          <w:sz w:val="24"/>
          <w:szCs w:val="24"/>
        </w:rPr>
        <w:t xml:space="preserve">sui iuris </w:t>
      </w:r>
      <w:r w:rsidR="003452D3" w:rsidRPr="002756E1">
        <w:rPr>
          <w:rFonts w:ascii="Times New Roman" w:hAnsi="Times New Roman" w:cs="Times New Roman"/>
          <w:sz w:val="24"/>
          <w:szCs w:val="24"/>
        </w:rPr>
        <w:t xml:space="preserve">statusą. Taip pat panašu </w:t>
      </w:r>
      <w:r w:rsidR="003452D3" w:rsidRPr="002756E1">
        <w:rPr>
          <w:rFonts w:ascii="Times New Roman" w:hAnsi="Times New Roman" w:cs="Times New Roman"/>
          <w:i/>
          <w:iCs/>
          <w:sz w:val="24"/>
          <w:szCs w:val="24"/>
        </w:rPr>
        <w:t xml:space="preserve">ius vitae ac necis, ius vitae necisque </w:t>
      </w:r>
      <w:r w:rsidR="003452D3" w:rsidRPr="002756E1">
        <w:rPr>
          <w:rFonts w:ascii="Times New Roman" w:hAnsi="Times New Roman" w:cs="Times New Roman"/>
          <w:sz w:val="24"/>
          <w:szCs w:val="24"/>
        </w:rPr>
        <w:t xml:space="preserve">– mirties ir gyvenimo (gyvybės) teisės atveju, ji daugiausia priklausydavo nuo </w:t>
      </w:r>
      <w:r w:rsidR="003452D3" w:rsidRPr="002756E1">
        <w:rPr>
          <w:rFonts w:ascii="Times New Roman" w:hAnsi="Times New Roman" w:cs="Times New Roman"/>
          <w:i/>
          <w:iCs/>
          <w:sz w:val="24"/>
          <w:szCs w:val="24"/>
        </w:rPr>
        <w:t xml:space="preserve">pater familias </w:t>
      </w:r>
      <w:r w:rsidR="003452D3" w:rsidRPr="002756E1">
        <w:rPr>
          <w:rFonts w:ascii="Times New Roman" w:hAnsi="Times New Roman" w:cs="Times New Roman"/>
          <w:sz w:val="24"/>
          <w:szCs w:val="24"/>
        </w:rPr>
        <w:t xml:space="preserve">(šeimos tėvo) apsisprendimo. Šiandien toks požiūris į apsisprendimą dėl gyvenimo ir mirties (kuris buvo </w:t>
      </w:r>
      <w:r w:rsidR="003452D3" w:rsidRPr="002756E1">
        <w:rPr>
          <w:rFonts w:ascii="Times New Roman" w:hAnsi="Times New Roman" w:cs="Times New Roman"/>
          <w:i/>
          <w:iCs/>
          <w:sz w:val="24"/>
          <w:szCs w:val="24"/>
        </w:rPr>
        <w:t xml:space="preserve">pater familias </w:t>
      </w:r>
      <w:r w:rsidR="003452D3" w:rsidRPr="002756E1">
        <w:rPr>
          <w:rFonts w:ascii="Times New Roman" w:hAnsi="Times New Roman" w:cs="Times New Roman"/>
          <w:sz w:val="24"/>
          <w:szCs w:val="24"/>
        </w:rPr>
        <w:t>dispozicijoje) yra visiškai nesuprantamas ir nepateisinamas, tačiau ši teisė, sprendžiant negimusiojo gyvybės ir mirties klausimą, kažkodėl perkeliama moteriai.</w:t>
      </w:r>
    </w:p>
    <w:p w:rsidR="008F3763" w:rsidRPr="002756E1" w:rsidRDefault="00015576" w:rsidP="008F3763">
      <w:pPr>
        <w:autoSpaceDE w:val="0"/>
        <w:autoSpaceDN w:val="0"/>
        <w:adjustRightInd w:val="0"/>
        <w:spacing w:after="0" w:line="240" w:lineRule="auto"/>
        <w:ind w:firstLine="1296"/>
        <w:jc w:val="both"/>
        <w:rPr>
          <w:rFonts w:ascii="Times New Roman" w:hAnsi="Times New Roman" w:cs="Times New Roman"/>
          <w:sz w:val="24"/>
          <w:szCs w:val="24"/>
        </w:rPr>
      </w:pPr>
      <w:r w:rsidRPr="002756E1">
        <w:rPr>
          <w:rFonts w:ascii="Times New Roman" w:hAnsi="Times New Roman" w:cs="Times New Roman"/>
          <w:sz w:val="24"/>
          <w:szCs w:val="24"/>
        </w:rPr>
        <w:t>Vis tik  romėnų teisės tyrinėtojai plačiai pripažįsta negimusįjį kaip žmogiškąją realybę (</w:t>
      </w:r>
      <w:r w:rsidRPr="002756E1">
        <w:rPr>
          <w:rFonts w:ascii="Times New Roman" w:hAnsi="Times New Roman" w:cs="Times New Roman"/>
          <w:i/>
          <w:iCs/>
          <w:sz w:val="24"/>
          <w:szCs w:val="24"/>
        </w:rPr>
        <w:t xml:space="preserve">in rebus humanis. </w:t>
      </w:r>
      <w:r w:rsidRPr="002756E1">
        <w:rPr>
          <w:rFonts w:ascii="Times New Roman" w:hAnsi="Times New Roman" w:cs="Times New Roman"/>
          <w:sz w:val="24"/>
          <w:szCs w:val="24"/>
        </w:rPr>
        <w:t>Nuo pradėjimo (</w:t>
      </w:r>
      <w:r w:rsidRPr="002756E1">
        <w:rPr>
          <w:rFonts w:ascii="Times New Roman" w:hAnsi="Times New Roman" w:cs="Times New Roman"/>
          <w:i/>
          <w:iCs/>
          <w:sz w:val="24"/>
          <w:szCs w:val="24"/>
        </w:rPr>
        <w:t>concepimento</w:t>
      </w:r>
      <w:r w:rsidRPr="002756E1">
        <w:rPr>
          <w:rFonts w:ascii="Times New Roman" w:hAnsi="Times New Roman" w:cs="Times New Roman"/>
          <w:sz w:val="24"/>
          <w:szCs w:val="24"/>
        </w:rPr>
        <w:t>) priklauso pilietybės statuso įgijimas, nes tas, kuris yra teisėtai pradėtas (</w:t>
      </w:r>
      <w:r w:rsidRPr="002756E1">
        <w:rPr>
          <w:rFonts w:ascii="Times New Roman" w:hAnsi="Times New Roman" w:cs="Times New Roman"/>
          <w:i/>
          <w:iCs/>
          <w:sz w:val="24"/>
          <w:szCs w:val="24"/>
        </w:rPr>
        <w:t>legitime concipiuntur, ex conceptionis tempore statum sumunt</w:t>
      </w:r>
      <w:r w:rsidRPr="002756E1">
        <w:rPr>
          <w:rFonts w:ascii="Times New Roman" w:hAnsi="Times New Roman" w:cs="Times New Roman"/>
          <w:sz w:val="24"/>
          <w:szCs w:val="24"/>
        </w:rPr>
        <w:t>, Gai 1.89), lemia pradėto, bet dar negimusio vaiko padėtį (</w:t>
      </w:r>
      <w:r w:rsidRPr="002756E1">
        <w:rPr>
          <w:rFonts w:ascii="Times New Roman" w:hAnsi="Times New Roman" w:cs="Times New Roman"/>
          <w:i/>
          <w:iCs/>
          <w:sz w:val="24"/>
          <w:szCs w:val="24"/>
        </w:rPr>
        <w:t>status famigliae, status libertatis</w:t>
      </w:r>
      <w:r w:rsidR="008F3763" w:rsidRPr="002756E1">
        <w:rPr>
          <w:rFonts w:ascii="Times New Roman" w:hAnsi="Times New Roman" w:cs="Times New Roman"/>
          <w:sz w:val="24"/>
          <w:szCs w:val="24"/>
        </w:rPr>
        <w:t>), o ne pats gimimas</w:t>
      </w:r>
      <w:r w:rsidRPr="002756E1">
        <w:rPr>
          <w:rFonts w:ascii="Times New Roman" w:hAnsi="Times New Roman" w:cs="Times New Roman"/>
          <w:sz w:val="24"/>
          <w:szCs w:val="24"/>
        </w:rPr>
        <w:t>.</w:t>
      </w:r>
      <w:r w:rsidR="008F3763" w:rsidRPr="002756E1">
        <w:rPr>
          <w:rFonts w:ascii="Times New Roman" w:hAnsi="Times New Roman" w:cs="Times New Roman"/>
          <w:sz w:val="24"/>
          <w:szCs w:val="24"/>
        </w:rPr>
        <w:t xml:space="preserve"> </w:t>
      </w:r>
      <w:r w:rsidRPr="002756E1">
        <w:rPr>
          <w:rFonts w:ascii="Times New Roman" w:hAnsi="Times New Roman" w:cs="Times New Roman"/>
          <w:sz w:val="24"/>
          <w:szCs w:val="24"/>
        </w:rPr>
        <w:t>Digestuose kalbant apie pradėtą ir negimusįjį, pirmiausia pateikiama bendra civilinės teisės nuostata, kad tas, kuris yra įsčiose, beveik visada suprantamas kaip realiai esantysis ir negali būti kitaip, to turi būti laikomasi. Vėliau kalbama apie negimusiojo teisinį paveldėjimą. Pateiktas pavyzdys rodo, kad vaikas, pradėtas laisvėje, nors ir gimtų nelaisvėje, vis tiek gimtų kaip laisvasis ir įgytų tėvo arba motinos teisinę padėtį. Jei būtų pradėtas vergovėje, bet gimtų išpirkėjo namuose, įgytų statusą to, kuris išpirko pavergtąją, kol jam gimtų sūnus. Kad negimęs vaikas yra traktuojamas kaip gimusysis, pripažįsta ir romėnų teisė. Todėl pradėto, bet dar negimusio asmens pripažinimas kaip gimusiojo – tai ne kažkoks metateisinis pripažinimas, pagrįstas filosofiniais ar medicininiais išvedžiojimais, o grynai teisinis. Tai patvirtina aiškus teisinis reglamentavimas. Pavyzdžiui, skiriant įsčių rūpintoją (</w:t>
      </w:r>
      <w:r w:rsidRPr="002756E1">
        <w:rPr>
          <w:rFonts w:ascii="Times New Roman" w:hAnsi="Times New Roman" w:cs="Times New Roman"/>
          <w:i/>
          <w:iCs/>
          <w:sz w:val="24"/>
          <w:szCs w:val="24"/>
        </w:rPr>
        <w:t>curator ventris</w:t>
      </w:r>
      <w:r w:rsidRPr="002756E1">
        <w:rPr>
          <w:rFonts w:ascii="Times New Roman" w:hAnsi="Times New Roman" w:cs="Times New Roman"/>
          <w:sz w:val="24"/>
          <w:szCs w:val="24"/>
        </w:rPr>
        <w:t xml:space="preserve">) našlei, kuri testatoriui mirus pagimdys teisėtai pradėtą vaiką, tiesiogiai siekiama pasirūpinti negimusiuoju, jo interesais, o ne moters (D. 37.9.5, Gai. 14 </w:t>
      </w:r>
      <w:r w:rsidRPr="002756E1">
        <w:rPr>
          <w:rFonts w:ascii="Times New Roman" w:hAnsi="Times New Roman" w:cs="Times New Roman"/>
          <w:i/>
          <w:iCs/>
          <w:sz w:val="24"/>
          <w:szCs w:val="24"/>
        </w:rPr>
        <w:t>ad edict</w:t>
      </w:r>
      <w:r w:rsidRPr="002756E1">
        <w:rPr>
          <w:rFonts w:ascii="Times New Roman" w:hAnsi="Times New Roman" w:cs="Times New Roman"/>
          <w:sz w:val="24"/>
          <w:szCs w:val="24"/>
        </w:rPr>
        <w:t xml:space="preserve">.; D. 37.1.21–22, Ulp. 41 </w:t>
      </w:r>
      <w:r w:rsidRPr="002756E1">
        <w:rPr>
          <w:rFonts w:ascii="Times New Roman" w:hAnsi="Times New Roman" w:cs="Times New Roman"/>
          <w:i/>
          <w:iCs/>
          <w:sz w:val="24"/>
          <w:szCs w:val="24"/>
        </w:rPr>
        <w:t>ad edict.</w:t>
      </w:r>
      <w:r w:rsidRPr="002756E1">
        <w:rPr>
          <w:rFonts w:ascii="Times New Roman" w:hAnsi="Times New Roman" w:cs="Times New Roman"/>
          <w:sz w:val="24"/>
          <w:szCs w:val="24"/>
        </w:rPr>
        <w:t xml:space="preserve">; D. 50.17.73.1, Gai 1, 147); draudimas taikyti mirties ar kitą bausmę, kankinti nėščiąją, kol negimęs kūdikis (D. 1.5.18, Ulp. 27 </w:t>
      </w:r>
      <w:r w:rsidRPr="002756E1">
        <w:rPr>
          <w:rFonts w:ascii="Times New Roman" w:hAnsi="Times New Roman" w:cs="Times New Roman"/>
          <w:i/>
          <w:iCs/>
          <w:sz w:val="24"/>
          <w:szCs w:val="24"/>
        </w:rPr>
        <w:t>ad Sab</w:t>
      </w:r>
      <w:r w:rsidRPr="002756E1">
        <w:rPr>
          <w:rFonts w:ascii="Times New Roman" w:hAnsi="Times New Roman" w:cs="Times New Roman"/>
          <w:sz w:val="24"/>
          <w:szCs w:val="24"/>
        </w:rPr>
        <w:t xml:space="preserve">.; D. 48.19.3, Ulp. 14 </w:t>
      </w:r>
      <w:r w:rsidRPr="002756E1">
        <w:rPr>
          <w:rFonts w:ascii="Times New Roman" w:hAnsi="Times New Roman" w:cs="Times New Roman"/>
          <w:i/>
          <w:iCs/>
          <w:sz w:val="24"/>
          <w:szCs w:val="24"/>
        </w:rPr>
        <w:t>ad. Sab.</w:t>
      </w:r>
      <w:r w:rsidRPr="002756E1">
        <w:rPr>
          <w:rFonts w:ascii="Times New Roman" w:hAnsi="Times New Roman" w:cs="Times New Roman"/>
          <w:sz w:val="24"/>
          <w:szCs w:val="24"/>
        </w:rPr>
        <w:t xml:space="preserve">), arba romėnų teisėje taikomos sankcijos už aborto padarymą tiek prisidedant iš šalies (D. 48.19.38.5, Paul. </w:t>
      </w:r>
      <w:r w:rsidRPr="002756E1">
        <w:rPr>
          <w:rFonts w:ascii="Times New Roman" w:hAnsi="Times New Roman" w:cs="Times New Roman"/>
          <w:i/>
          <w:iCs/>
          <w:sz w:val="24"/>
          <w:szCs w:val="24"/>
        </w:rPr>
        <w:t>5 sent.</w:t>
      </w:r>
      <w:r w:rsidRPr="002756E1">
        <w:rPr>
          <w:rFonts w:ascii="Times New Roman" w:hAnsi="Times New Roman" w:cs="Times New Roman"/>
          <w:sz w:val="24"/>
          <w:szCs w:val="24"/>
        </w:rPr>
        <w:t xml:space="preserve">), tiek pačiai motinai nužudžius savo negimusį kūdikį (D. 48.8.8, Ulp. 33 </w:t>
      </w:r>
      <w:r w:rsidRPr="002756E1">
        <w:rPr>
          <w:rFonts w:ascii="Times New Roman" w:hAnsi="Times New Roman" w:cs="Times New Roman"/>
          <w:i/>
          <w:iCs/>
          <w:sz w:val="24"/>
          <w:szCs w:val="24"/>
        </w:rPr>
        <w:t>ad edict.</w:t>
      </w:r>
      <w:r w:rsidRPr="002756E1">
        <w:rPr>
          <w:rFonts w:ascii="Times New Roman" w:hAnsi="Times New Roman" w:cs="Times New Roman"/>
          <w:sz w:val="24"/>
          <w:szCs w:val="24"/>
        </w:rPr>
        <w:t xml:space="preserve">; D. 47.11.4) rodo, jog romėnų teisėje pradėtam, bet dar negimusiam vaikui buvo užtikrinama išskirtinė teisinė apsauga. </w:t>
      </w:r>
    </w:p>
    <w:p w:rsidR="008F3763" w:rsidRPr="002756E1" w:rsidRDefault="008F3763" w:rsidP="008F3763">
      <w:pPr>
        <w:autoSpaceDE w:val="0"/>
        <w:autoSpaceDN w:val="0"/>
        <w:adjustRightInd w:val="0"/>
        <w:spacing w:after="0" w:line="240" w:lineRule="auto"/>
        <w:ind w:firstLine="1296"/>
        <w:jc w:val="both"/>
        <w:rPr>
          <w:rFonts w:ascii="Times New Roman" w:hAnsi="Times New Roman" w:cs="Times New Roman"/>
          <w:sz w:val="24"/>
          <w:szCs w:val="24"/>
        </w:rPr>
      </w:pPr>
      <w:r w:rsidRPr="002756E1">
        <w:rPr>
          <w:rFonts w:ascii="Times New Roman" w:hAnsi="Times New Roman" w:cs="Times New Roman"/>
          <w:sz w:val="24"/>
          <w:szCs w:val="24"/>
        </w:rPr>
        <w:t xml:space="preserve">Tad </w:t>
      </w:r>
      <w:r w:rsidRPr="002756E1">
        <w:rPr>
          <w:rFonts w:ascii="Times New Roman" w:hAnsi="Times New Roman" w:cs="Times New Roman"/>
          <w:i/>
          <w:iCs/>
          <w:sz w:val="24"/>
          <w:szCs w:val="24"/>
        </w:rPr>
        <w:t xml:space="preserve">venter </w:t>
      </w:r>
      <w:r w:rsidRPr="002756E1">
        <w:rPr>
          <w:rFonts w:ascii="Times New Roman" w:hAnsi="Times New Roman" w:cs="Times New Roman"/>
          <w:sz w:val="24"/>
          <w:szCs w:val="24"/>
        </w:rPr>
        <w:t>buvo ypač svarbus ne kaip motinos kūno dalis, bet kalbant apie pradėtą, bet dar negimusį vaiką (D. 37.9.1.3; 5; 9). Netgi nesant tikrumo dėl jo paveldėjimo (</w:t>
      </w:r>
      <w:r w:rsidRPr="002756E1">
        <w:rPr>
          <w:rFonts w:ascii="Times New Roman" w:hAnsi="Times New Roman" w:cs="Times New Roman"/>
          <w:i/>
          <w:iCs/>
          <w:sz w:val="24"/>
          <w:szCs w:val="24"/>
        </w:rPr>
        <w:t>exheredatio</w:t>
      </w:r>
      <w:r w:rsidRPr="002756E1">
        <w:rPr>
          <w:rFonts w:ascii="Times New Roman" w:hAnsi="Times New Roman" w:cs="Times New Roman"/>
          <w:sz w:val="24"/>
          <w:szCs w:val="24"/>
        </w:rPr>
        <w:t xml:space="preserve">) ar dėl jo statuso (D. 37.9.1.5). Galime pastebėti ryškų motinos ir dar negimusio kūdikio konfliktą ir tame kai dėl moters asmeninių paskatų išnyko ir </w:t>
      </w:r>
      <w:r w:rsidRPr="002756E1">
        <w:rPr>
          <w:rFonts w:ascii="Times New Roman" w:hAnsi="Times New Roman" w:cs="Times New Roman"/>
          <w:i/>
          <w:iCs/>
          <w:sz w:val="24"/>
          <w:szCs w:val="24"/>
        </w:rPr>
        <w:t xml:space="preserve">curator ventris </w:t>
      </w:r>
      <w:r w:rsidRPr="002756E1">
        <w:rPr>
          <w:rFonts w:ascii="Times New Roman" w:hAnsi="Times New Roman" w:cs="Times New Roman"/>
          <w:sz w:val="24"/>
          <w:szCs w:val="24"/>
        </w:rPr>
        <w:t xml:space="preserve">(įsčių rūpintojo) institutas. Pandektų komentaruose sakoma, jog geriau patirti nenaudingų išlaidų, negu nepasirūpinti tuo, kuris bus </w:t>
      </w:r>
      <w:r w:rsidRPr="002756E1">
        <w:rPr>
          <w:rFonts w:ascii="Times New Roman" w:hAnsi="Times New Roman" w:cs="Times New Roman"/>
          <w:i/>
          <w:iCs/>
          <w:sz w:val="24"/>
          <w:szCs w:val="24"/>
        </w:rPr>
        <w:t>dominus</w:t>
      </w:r>
      <w:r w:rsidRPr="002756E1">
        <w:rPr>
          <w:rFonts w:ascii="Times New Roman" w:hAnsi="Times New Roman" w:cs="Times New Roman"/>
          <w:sz w:val="24"/>
          <w:szCs w:val="24"/>
        </w:rPr>
        <w:t xml:space="preserve">. Rūpintis negimusiuoju įpareigoja ne tik šeima, giminystė, bet ir </w:t>
      </w:r>
      <w:r w:rsidRPr="002756E1">
        <w:rPr>
          <w:rFonts w:ascii="Times New Roman" w:hAnsi="Times New Roman" w:cs="Times New Roman"/>
          <w:i/>
          <w:iCs/>
          <w:sz w:val="24"/>
          <w:szCs w:val="24"/>
        </w:rPr>
        <w:t>res publica</w:t>
      </w:r>
      <w:r w:rsidRPr="002756E1">
        <w:rPr>
          <w:rFonts w:ascii="Times New Roman" w:hAnsi="Times New Roman" w:cs="Times New Roman"/>
          <w:sz w:val="24"/>
          <w:szCs w:val="24"/>
        </w:rPr>
        <w:t xml:space="preserve">. Rūpinimasis įsčiomis peržengia šeimos teisės ir privatinės teisės ribas. Magistratui paskyrus rūpintoją (D. 26.5.20) būdavo ginamas ne tik privatus, bet ir viešas interesas, tiksliau – trys interesai: </w:t>
      </w:r>
      <w:r w:rsidRPr="002756E1">
        <w:rPr>
          <w:rFonts w:ascii="Times New Roman" w:hAnsi="Times New Roman" w:cs="Times New Roman"/>
          <w:i/>
          <w:iCs/>
          <w:sz w:val="24"/>
          <w:szCs w:val="24"/>
        </w:rPr>
        <w:t>res publica</w:t>
      </w:r>
      <w:r w:rsidRPr="002756E1">
        <w:rPr>
          <w:rFonts w:ascii="Times New Roman" w:hAnsi="Times New Roman" w:cs="Times New Roman"/>
          <w:sz w:val="24"/>
          <w:szCs w:val="24"/>
        </w:rPr>
        <w:t>, nėščiosios ir negimusiojo.</w:t>
      </w:r>
    </w:p>
    <w:p w:rsidR="00015576" w:rsidRPr="002756E1" w:rsidRDefault="00015576" w:rsidP="0073027F">
      <w:pPr>
        <w:autoSpaceDE w:val="0"/>
        <w:autoSpaceDN w:val="0"/>
        <w:adjustRightInd w:val="0"/>
        <w:spacing w:after="0" w:line="240" w:lineRule="auto"/>
        <w:ind w:firstLine="1296"/>
        <w:jc w:val="both"/>
        <w:rPr>
          <w:rFonts w:ascii="Times New Roman" w:hAnsi="Times New Roman" w:cs="Times New Roman"/>
          <w:sz w:val="24"/>
          <w:szCs w:val="24"/>
        </w:rPr>
      </w:pPr>
      <w:r w:rsidRPr="002756E1">
        <w:rPr>
          <w:rFonts w:ascii="Times New Roman" w:hAnsi="Times New Roman" w:cs="Times New Roman"/>
          <w:sz w:val="24"/>
          <w:szCs w:val="24"/>
        </w:rPr>
        <w:t xml:space="preserve">Romos La Sapienza universiteto profesorius P. Catalano, svarstydamas apie </w:t>
      </w:r>
      <w:r w:rsidRPr="002756E1">
        <w:rPr>
          <w:rFonts w:ascii="Times New Roman" w:hAnsi="Times New Roman" w:cs="Times New Roman"/>
          <w:i/>
          <w:iCs/>
          <w:sz w:val="24"/>
          <w:szCs w:val="24"/>
        </w:rPr>
        <w:t>nasciturus</w:t>
      </w:r>
      <w:r w:rsidRPr="002756E1">
        <w:rPr>
          <w:rFonts w:ascii="Times New Roman" w:hAnsi="Times New Roman" w:cs="Times New Roman"/>
          <w:sz w:val="24"/>
          <w:szCs w:val="24"/>
        </w:rPr>
        <w:t>, teigia, kad kalbant apie negimusiojo (</w:t>
      </w:r>
      <w:r w:rsidRPr="002756E1">
        <w:rPr>
          <w:rFonts w:ascii="Times New Roman" w:hAnsi="Times New Roman" w:cs="Times New Roman"/>
          <w:i/>
          <w:iCs/>
          <w:sz w:val="24"/>
          <w:szCs w:val="24"/>
        </w:rPr>
        <w:t>nasciturus</w:t>
      </w:r>
      <w:r w:rsidRPr="002756E1">
        <w:rPr>
          <w:rFonts w:ascii="Times New Roman" w:hAnsi="Times New Roman" w:cs="Times New Roman"/>
          <w:sz w:val="24"/>
          <w:szCs w:val="24"/>
        </w:rPr>
        <w:t xml:space="preserve">) teisę gyventi visų žmonių (žmonijos) </w:t>
      </w:r>
      <w:r w:rsidRPr="002756E1">
        <w:rPr>
          <w:rFonts w:ascii="Times New Roman" w:hAnsi="Times New Roman" w:cs="Times New Roman"/>
          <w:sz w:val="24"/>
          <w:szCs w:val="24"/>
        </w:rPr>
        <w:lastRenderedPageBreak/>
        <w:t>šeimoje jam visų pirma irgi turi būti skirta ir neatimta vieta, kaip buvo daroma romėnų teisėje. Negimusiojo, kaip asmens, nužudymas teleologiniame istorijos kontekste pasaulio tautoms tampa gelbėjimo,</w:t>
      </w:r>
      <w:r w:rsidR="008F3763" w:rsidRPr="002756E1">
        <w:rPr>
          <w:rFonts w:ascii="Times New Roman" w:hAnsi="Times New Roman" w:cs="Times New Roman"/>
          <w:sz w:val="24"/>
          <w:szCs w:val="24"/>
        </w:rPr>
        <w:t xml:space="preserve"> vieningumo ir taikos pabaiga</w:t>
      </w:r>
      <w:r w:rsidRPr="002756E1">
        <w:rPr>
          <w:rFonts w:ascii="Times New Roman" w:hAnsi="Times New Roman" w:cs="Times New Roman"/>
          <w:sz w:val="24"/>
          <w:szCs w:val="24"/>
        </w:rPr>
        <w:t xml:space="preserve">. G. La Pira, remdamasis romėnų teisės doktrina, kur negimusysis yra suprantamas kaip jau egzistuojantis, įžvelgia aiškų romėnų teisės nusistatymą prieš abortus. Jis teigia, jog moterys neturėtų jausti vidinės ramybės ir su tuo susitaikyti, nes abortas – tai liūdnas ir pavojingas šios epochos ženklas, darantis perversmą žmonijos istorijoje. Minėtas romėnų laikų negimusiojo apibrėžimo principas, Augusto laikais pradėtas taikyti civilinėje teisėje, buvo ne tik romėnų, bet apskritai visos žmonijos socialinės ir teisinės struktūros kokybinis pasiekimas, kai teisė į gyvenimą tapo visuotine ir nepažeidžiama žmogaus teise350. Tai tik patvirtina, kad žaidimas tokiomis sąvokomis kaip „nėštumo nutraukimas“ nekeičia aborto esmės; tai tik parodo, kad vaikas nelaukiamas, nereikalingas ir kad šie veiksmai prieštarauja </w:t>
      </w:r>
      <w:r w:rsidRPr="002756E1">
        <w:rPr>
          <w:rFonts w:ascii="Times New Roman" w:hAnsi="Times New Roman" w:cs="Times New Roman"/>
          <w:i/>
          <w:iCs/>
          <w:sz w:val="24"/>
          <w:szCs w:val="24"/>
        </w:rPr>
        <w:t>partus</w:t>
      </w:r>
      <w:r w:rsidRPr="002756E1">
        <w:rPr>
          <w:rFonts w:ascii="Times New Roman" w:hAnsi="Times New Roman" w:cs="Times New Roman"/>
          <w:sz w:val="24"/>
          <w:szCs w:val="24"/>
        </w:rPr>
        <w:t xml:space="preserve">, </w:t>
      </w:r>
      <w:r w:rsidRPr="002756E1">
        <w:rPr>
          <w:rFonts w:ascii="Times New Roman" w:hAnsi="Times New Roman" w:cs="Times New Roman"/>
          <w:i/>
          <w:iCs/>
          <w:sz w:val="24"/>
          <w:szCs w:val="24"/>
        </w:rPr>
        <w:t>nasciturus</w:t>
      </w:r>
      <w:r w:rsidRPr="002756E1">
        <w:rPr>
          <w:rFonts w:ascii="Times New Roman" w:hAnsi="Times New Roman" w:cs="Times New Roman"/>
          <w:sz w:val="24"/>
          <w:szCs w:val="24"/>
        </w:rPr>
        <w:t xml:space="preserve"> etimologinei žodžių prasmei – žmogaus „atėjimui“, gimimui.</w:t>
      </w:r>
      <w:r w:rsidR="0073027F" w:rsidRPr="002756E1">
        <w:rPr>
          <w:rFonts w:ascii="Times New Roman" w:hAnsi="Times New Roman" w:cs="Times New Roman"/>
          <w:sz w:val="24"/>
          <w:szCs w:val="24"/>
        </w:rPr>
        <w:t xml:space="preserve"> </w:t>
      </w:r>
      <w:r w:rsidR="008F3763" w:rsidRPr="002756E1">
        <w:rPr>
          <w:rFonts w:ascii="Times New Roman" w:hAnsi="Times New Roman" w:cs="Times New Roman"/>
          <w:sz w:val="24"/>
          <w:szCs w:val="24"/>
        </w:rPr>
        <w:t>Pabaigai tinka dar vienas</w:t>
      </w:r>
      <w:r w:rsidRPr="002756E1">
        <w:rPr>
          <w:rFonts w:ascii="Times New Roman" w:hAnsi="Times New Roman" w:cs="Times New Roman"/>
          <w:sz w:val="24"/>
          <w:szCs w:val="24"/>
        </w:rPr>
        <w:t xml:space="preserve"> romėnų teisės</w:t>
      </w:r>
      <w:r w:rsidR="008F3763" w:rsidRPr="002756E1">
        <w:rPr>
          <w:rFonts w:ascii="Times New Roman" w:hAnsi="Times New Roman" w:cs="Times New Roman"/>
          <w:sz w:val="24"/>
          <w:szCs w:val="24"/>
        </w:rPr>
        <w:t xml:space="preserve"> šaltinis, skelbiantis</w:t>
      </w:r>
      <w:r w:rsidRPr="002756E1">
        <w:rPr>
          <w:rFonts w:ascii="Times New Roman" w:hAnsi="Times New Roman" w:cs="Times New Roman"/>
          <w:sz w:val="24"/>
          <w:szCs w:val="24"/>
        </w:rPr>
        <w:t>, jog pati prigimtis mus moko, kad geri gimdytojai, kurie trokšta turėti vaikų, ima žmonas, raidiškai supranta ir priima visus savo vaikus, kurie iš jų kyla. Antraip negalėtume švelnesniu vardu pavadinti savo anūkų, kaip pavadinti jų sūnumis; o kai pradedame ir gimdome sūnus ar dukras, per jų atžalas amžiams lieka nesibaigianti atmintis apie mus pačius (D. 50.16.220.3, Cal. 2 quest.)351.</w:t>
      </w:r>
    </w:p>
    <w:p w:rsidR="00015576" w:rsidRPr="002756E1" w:rsidRDefault="00015576" w:rsidP="008F3763">
      <w:pPr>
        <w:spacing w:after="0" w:line="240" w:lineRule="auto"/>
        <w:jc w:val="both"/>
        <w:rPr>
          <w:rFonts w:ascii="Times New Roman" w:hAnsi="Times New Roman" w:cs="Times New Roman"/>
          <w:sz w:val="24"/>
          <w:szCs w:val="24"/>
        </w:rPr>
      </w:pPr>
    </w:p>
    <w:p w:rsidR="00015576" w:rsidRPr="002756E1" w:rsidRDefault="00015576" w:rsidP="008F3763">
      <w:pPr>
        <w:autoSpaceDE w:val="0"/>
        <w:autoSpaceDN w:val="0"/>
        <w:adjustRightInd w:val="0"/>
        <w:spacing w:after="0" w:line="240" w:lineRule="auto"/>
        <w:jc w:val="both"/>
        <w:rPr>
          <w:rFonts w:ascii="Times New Roman" w:hAnsi="Times New Roman" w:cs="Times New Roman"/>
          <w:sz w:val="24"/>
          <w:szCs w:val="24"/>
        </w:rPr>
      </w:pPr>
    </w:p>
    <w:p w:rsidR="00015576" w:rsidRPr="002756E1" w:rsidRDefault="00015576" w:rsidP="008F3763">
      <w:pPr>
        <w:autoSpaceDE w:val="0"/>
        <w:autoSpaceDN w:val="0"/>
        <w:adjustRightInd w:val="0"/>
        <w:spacing w:after="0" w:line="240" w:lineRule="auto"/>
        <w:jc w:val="both"/>
        <w:rPr>
          <w:rFonts w:ascii="Times New Roman" w:hAnsi="Times New Roman" w:cs="Times New Roman"/>
          <w:sz w:val="24"/>
          <w:szCs w:val="24"/>
        </w:rPr>
      </w:pPr>
    </w:p>
    <w:sectPr w:rsidR="00015576" w:rsidRPr="002756E1" w:rsidSect="008E796E">
      <w:pgSz w:w="11906" w:h="16838"/>
      <w:pgMar w:top="1134" w:right="1134"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2D3"/>
    <w:rsid w:val="00015576"/>
    <w:rsid w:val="000D4A53"/>
    <w:rsid w:val="001F0574"/>
    <w:rsid w:val="002756E1"/>
    <w:rsid w:val="003452D3"/>
    <w:rsid w:val="0073027F"/>
    <w:rsid w:val="008F3763"/>
    <w:rsid w:val="009957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3970</Words>
  <Characters>2264</Characters>
  <Application>Microsoft Office Word</Application>
  <DocSecurity>0</DocSecurity>
  <Lines>18</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KazimierasM</dc:creator>
  <cp:lastModifiedBy>Birute</cp:lastModifiedBy>
  <cp:revision>2</cp:revision>
  <dcterms:created xsi:type="dcterms:W3CDTF">2014-04-02T08:57:00Z</dcterms:created>
  <dcterms:modified xsi:type="dcterms:W3CDTF">2014-04-02T08:57:00Z</dcterms:modified>
</cp:coreProperties>
</file>